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20" w:beforeAutospacing="0" w:after="120" w:afterAutospacing="0" w:line="480" w:lineRule="exact"/>
        <w:ind w:left="1440" w:right="0" w:firstLine="643" w:firstLineChars="200"/>
        <w:jc w:val="left"/>
      </w:pPr>
      <w:bookmarkStart w:id="0" w:name="_GoBack"/>
      <w:r>
        <w:rPr>
          <w:rFonts w:ascii="仿宋_GB2312" w:hAnsi="微软雅黑" w:eastAsia="仿宋_GB2312" w:cs="仿宋_GB2312"/>
          <w:b/>
          <w:color w:val="333333"/>
          <w:kern w:val="2"/>
          <w:sz w:val="32"/>
          <w:szCs w:val="32"/>
          <w:shd w:val="clear" w:fill="FFFFFF"/>
          <w:lang w:val="en-US" w:eastAsia="zh-CN" w:bidi="ar"/>
        </w:rPr>
        <w:t>面试工作分组情况：</w:t>
      </w:r>
    </w:p>
    <w:bookmarkEnd w:id="0"/>
    <w:tbl>
      <w:tblPr>
        <w:tblW w:w="8913" w:type="dxa"/>
        <w:jc w:val="center"/>
        <w:tblInd w:w="1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301"/>
        <w:gridCol w:w="1587"/>
        <w:gridCol w:w="1174"/>
        <w:gridCol w:w="1044"/>
        <w:gridCol w:w="125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别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用人单位 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 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位 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岗位人数 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面试人数 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黑体" w:hAnsi="仿宋_GB2312" w:eastAsia="黑体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综合组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市央企驻临煤矿安全监管中心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煤矿安全技术二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全日制大学本科及以上学历学位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煤矿安全技术三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水文与水资源工程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Autospacing="1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859FB"/>
    <w:rsid w:val="6EE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2017-11-18T02:33:15Z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