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rStyle w:val="4"/>
          <w:rFonts w:ascii="微软雅黑" w:hAnsi="微软雅黑" w:eastAsia="微软雅黑" w:cs="微软雅黑"/>
          <w:color w:val="434343"/>
          <w:sz w:val="24"/>
          <w:szCs w:val="24"/>
        </w:rPr>
        <w:t>合作导师及学科方向</w:t>
      </w:r>
    </w:p>
    <w:tbl>
      <w:tblPr>
        <w:tblW w:w="8305" w:type="dxa"/>
        <w:jc w:val="center"/>
        <w:tblCellSpacing w:w="0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5"/>
        <w:gridCol w:w="1482"/>
        <w:gridCol w:w="4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</w:rPr>
              <w:t>流动站设站二级学科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黑体" w:hAnsi="宋体" w:eastAsia="黑体" w:cs="黑体"/>
              </w:rPr>
              <w:t>合作导师</w:t>
            </w:r>
          </w:p>
        </w:tc>
        <w:tc>
          <w:tcPr>
            <w:tcW w:w="40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黑体" w:hAnsi="宋体" w:eastAsia="黑体" w:cs="黑体"/>
              </w:rPr>
              <w:t>招收方向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区域经济学（020202）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景普秋</w:t>
            </w:r>
          </w:p>
        </w:tc>
        <w:tc>
          <w:tcPr>
            <w:tcW w:w="40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城乡协调发展研究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张复明</w:t>
            </w:r>
          </w:p>
        </w:tc>
        <w:tc>
          <w:tcPr>
            <w:tcW w:w="40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资源型经济转型研究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财政学（020203）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彭月兰</w:t>
            </w:r>
          </w:p>
        </w:tc>
        <w:tc>
          <w:tcPr>
            <w:tcW w:w="40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财政、税收理论与政策研究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金融学 （020204）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杨有振</w:t>
            </w:r>
          </w:p>
        </w:tc>
        <w:tc>
          <w:tcPr>
            <w:tcW w:w="40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商业银行经营管理研究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产业经济学（020205）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张富春</w:t>
            </w:r>
          </w:p>
        </w:tc>
        <w:tc>
          <w:tcPr>
            <w:tcW w:w="40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产业结构与经济发展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劳动经济学（020207）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杨俊青</w:t>
            </w:r>
          </w:p>
        </w:tc>
        <w:tc>
          <w:tcPr>
            <w:tcW w:w="40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人力资源管理与就业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金融工程 （0202Z1）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刘维奇</w:t>
            </w:r>
          </w:p>
        </w:tc>
        <w:tc>
          <w:tcPr>
            <w:tcW w:w="40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金融工程与风险管理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7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沈沛龙</w:t>
            </w:r>
          </w:p>
        </w:tc>
        <w:tc>
          <w:tcPr>
            <w:tcW w:w="403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金融风险管理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D0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2017-11-16T03:32:25Z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