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华文楷体" w:hAnsi="华文楷体" w:eastAsia="华文楷体" w:cs="华文楷体"/>
          <w:sz w:val="32"/>
          <w:szCs w:val="32"/>
        </w:rPr>
      </w:pPr>
      <w:r>
        <w:rPr>
          <w:rFonts w:hint="eastAsia" w:ascii="华文楷体" w:hAnsi="华文楷体" w:eastAsia="华文楷体" w:cs="华文楷体"/>
          <w:sz w:val="32"/>
          <w:szCs w:val="32"/>
        </w:rPr>
        <w:t>附件1：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太原理工大学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2021</w:t>
      </w:r>
      <w:r>
        <w:rPr>
          <w:rFonts w:hint="eastAsia" w:ascii="华文中宋" w:hAnsi="华文中宋" w:eastAsia="华文中宋" w:cs="华文中宋"/>
          <w:sz w:val="36"/>
          <w:szCs w:val="36"/>
        </w:rPr>
        <w:t>年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校医院</w:t>
      </w:r>
      <w:r>
        <w:rPr>
          <w:rFonts w:hint="eastAsia" w:ascii="华文中宋" w:hAnsi="华文中宋" w:eastAsia="华文中宋" w:cs="华文中宋"/>
          <w:sz w:val="36"/>
          <w:szCs w:val="36"/>
        </w:rPr>
        <w:t>专项招聘岗位表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</w:p>
    <w:tbl>
      <w:tblPr>
        <w:tblStyle w:val="3"/>
        <w:tblW w:w="14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701"/>
        <w:gridCol w:w="850"/>
        <w:gridCol w:w="2410"/>
        <w:gridCol w:w="851"/>
        <w:gridCol w:w="992"/>
        <w:gridCol w:w="1134"/>
        <w:gridCol w:w="4216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1413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招聘单位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招聘岗位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专项招聘人数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学科/专业要求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学历学位</w:t>
            </w:r>
          </w:p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要求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年龄要求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地点</w:t>
            </w:r>
          </w:p>
        </w:tc>
        <w:tc>
          <w:tcPr>
            <w:tcW w:w="4216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其他要求</w:t>
            </w:r>
          </w:p>
        </w:tc>
        <w:tc>
          <w:tcPr>
            <w:tcW w:w="578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9" w:hRule="atLeast"/>
        </w:trPr>
        <w:tc>
          <w:tcPr>
            <w:tcW w:w="1413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太原理工大学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 w:val="26"/>
                <w:szCs w:val="26"/>
              </w:rPr>
            </w:pPr>
            <w:r>
              <w:rPr>
                <w:rFonts w:hint="eastAsia" w:ascii="华文楷体" w:hAnsi="华文楷体" w:eastAsia="华文楷体" w:cs="华文楷体"/>
                <w:sz w:val="26"/>
                <w:szCs w:val="26"/>
              </w:rPr>
              <w:t>专技岗位</w:t>
            </w:r>
          </w:p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华文楷体" w:hAnsi="华文楷体" w:eastAsia="华文楷体" w:cs="华文楷体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临床医学专业的以下二级学科及其专硕：内科学 、影像医学与核医学、临床检验诊断学、外科学、眼科学、耳鼻咽喉科学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硕士及</w:t>
            </w:r>
          </w:p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以上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30周岁及以下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各校区</w:t>
            </w:r>
          </w:p>
        </w:tc>
        <w:tc>
          <w:tcPr>
            <w:tcW w:w="4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硕士毕业于所学二级学科具有博士学位授予权的院校；第一学历为国家统招全日制本科毕业，本科和硕士专业均为临床医学。</w:t>
            </w:r>
          </w:p>
        </w:tc>
        <w:tc>
          <w:tcPr>
            <w:tcW w:w="578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8400C"/>
    <w:rsid w:val="07D34AC3"/>
    <w:rsid w:val="159F6D00"/>
    <w:rsid w:val="1E3F18B6"/>
    <w:rsid w:val="26952C9C"/>
    <w:rsid w:val="2DC153C2"/>
    <w:rsid w:val="45E8400C"/>
    <w:rsid w:val="769C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  <w:rPr>
      <w:rFonts w:ascii="华文楷体" w:hAnsi="华文楷体" w:eastAsia="华文楷体" w:cs="华文楷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2020-12-23T03:47:00Z</dcterms:created>
  <dc:creator>Gao.</dc:creator>
  <cp:lastModifiedBy>lenovo</cp:lastModifiedBy>
  <cp:lastPrinted>2021-03-31T02:08:59Z</cp:lastPrinted>
  <dcterms:modified xsi:type="dcterms:W3CDTF">2021-03-31T02:16:13Z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16D84604C7554BC4BD578523DC541C23</vt:lpwstr>
  </property>
</Properties>
</file>